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7" name="image1.png"/>
            <a:graphic>
              <a:graphicData uri="http://schemas.openxmlformats.org/drawingml/2006/picture">
                <pic:pic>
                  <pic:nvPicPr>
                    <pic:cNvPr descr="cid:image001.png@01D7AED6.669898F0" id="0" name="image1.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46.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46"/>
        <w:tblGridChange w:id="0">
          <w:tblGrid>
            <w:gridCol w:w="6946"/>
          </w:tblGrid>
        </w:tblGridChange>
      </w:tblGrid>
      <w:tr>
        <w:trPr>
          <w:cantSplit w:val="0"/>
          <w:trHeight w:val="80" w:hRule="atLeast"/>
          <w:tblHeader w:val="0"/>
        </w:trPr>
        <w:tc>
          <w:tcPr>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944110" cy="1000125"/>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944110" cy="1000125"/>
                          </a:xfrm>
                          <a:prstGeom prst="rect"/>
                          <a:ln/>
                        </pic:spPr>
                      </pic:pic>
                    </a:graphicData>
                  </a:graphic>
                </wp:inline>
              </w:drawing>
            </w:r>
            <w:r w:rsidDel="00000000" w:rsidR="00000000" w:rsidRPr="00000000">
              <w:rPr>
                <w:rtl w:val="0"/>
              </w:rPr>
            </w:r>
          </w:p>
        </w:tc>
      </w:tr>
      <w:tr>
        <w:trPr>
          <w:cantSplit w:val="0"/>
          <w:trHeight w:val="80" w:hRule="atLeast"/>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631.0" w:type="dxa"/>
        <w:jc w:val="left"/>
        <w:tblInd w:w="284.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631"/>
        <w:tblGridChange w:id="0">
          <w:tblGrid>
            <w:gridCol w:w="10631"/>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21 July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66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666"/>
        <w:tblGridChange w:id="0">
          <w:tblGrid>
            <w:gridCol w:w="1066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Enjoy the Summer Holidays</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Thank 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all those who have helped with the following over the last week or so:</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Welcoming our September Starters on 17 July, Ricky Blackman, Gerard Watts, Cindy, Ye, Saoirse Noonan, Callum Scott, Stephanie Coventry (soon to be Mrs Prout), Charlotte Pollard and Rachel Franklin, we look forward to meeting up with them again when they join us in September.</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Our staff leaving celebration on the afternoon of 19 July, when we enjoyed cream teas, said our fond farewells to the following staff members and wished them well in their future adventures: </w:t>
      </w:r>
    </w:p>
    <w:p w:rsidR="00000000" w:rsidDel="00000000" w:rsidP="00000000" w:rsidRDefault="00000000" w:rsidRPr="00000000" w14:paraId="0000000D">
      <w:pPr>
        <w:ind w:left="18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Michelle Dunleavy, Claire Hughes, Cassandra Fielder, Amanda Owen, Neil Burke, Ryder Hargreaves, Claire Moody, James Frost, Kate Forster.   Jonathan Hatch commences his year’s sabbatical to enjoy some family time, and not forgetting James Fallow and his plans to move to Falmouth School in either September or January.</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those who have helped with the Year 10 Work Experience Week organised by Mr WIlson.</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Thank you to all who have taken part in and helped with the Duke of Edinburgh Silver &amp; Bronze trips this week, especially the organisers Mr Maule, Miss Sibley and Mr Cherry.</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Thank you to Mrs Handford for organising so that our Year 10 Duke of Edinburgh students had the opportunity to squeeze in a 6th Form Taster Day on 20 July.</w:t>
      </w:r>
    </w:p>
    <w:p w:rsidR="00000000" w:rsidDel="00000000" w:rsidP="00000000" w:rsidRDefault="00000000" w:rsidRPr="00000000" w14:paraId="00000011">
      <w:pPr>
        <w:ind w:left="108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 done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Steelers who played at the Tropical Pressure Music Festival on Sunday 16 July and are again playing today (Friday 21 July) at the Killacourt Bandstand in Newquay, thank you to Mr Mildenhall for his hard work in organising these performances.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Aimee Rounsevell and Emily Whitchurch who take up their new roles as joint TTLs for Science in September.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 look forward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welcoming all </w:t>
      </w:r>
      <w:r w:rsidDel="00000000" w:rsidR="00000000" w:rsidRPr="00000000">
        <w:rPr>
          <w:rFonts w:ascii="Calibri" w:cs="Calibri" w:eastAsia="Calibri" w:hAnsi="Calibri"/>
          <w:sz w:val="22"/>
          <w:szCs w:val="22"/>
          <w:rtl w:val="0"/>
        </w:rPr>
        <w:t xml:space="preserve">our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staff back to Treviglas </w:t>
      </w:r>
      <w:r w:rsidDel="00000000" w:rsidR="00000000" w:rsidRPr="00000000">
        <w:rPr>
          <w:rFonts w:ascii="Calibri" w:cs="Calibri" w:eastAsia="Calibri" w:hAnsi="Calibri"/>
          <w:sz w:val="22"/>
          <w:szCs w:val="22"/>
          <w:rtl w:val="0"/>
        </w:rPr>
        <w:t xml:space="preserve">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Inset Day M</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nday 4 September and then all of our students will return on Tuesday 5 September 2023.</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following: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numPr>
          <w:ilvl w:val="0"/>
          <w:numId w:val="4"/>
        </w:numPr>
        <w:ind w:left="180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 results days of 17 August for A Level and Level 3 qualifications, and 24 August for GCSE and Level 1/2  qualifications.</w:t>
      </w:r>
    </w:p>
    <w:p w:rsidR="00000000" w:rsidDel="00000000" w:rsidP="00000000" w:rsidRDefault="00000000" w:rsidRPr="00000000" w14:paraId="0000001B">
      <w:pPr>
        <w:numPr>
          <w:ilvl w:val="0"/>
          <w:numId w:val="4"/>
        </w:numPr>
        <w:ind w:left="180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Any payroll/additional hours/expenses claims that you have accrued over the summer break (August) need to be with Miss Edwards no later than Tuesday 5 September if you wish them to be included in your September pay, failing that they will be carried over to your October pay.</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of absence from work please send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notifications to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absence@treviglas.cornwall.sch.uk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 7.15 am.</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Leave of Absence Requests there </w:t>
      </w:r>
      <w:r w:rsidDel="00000000" w:rsidR="00000000" w:rsidRPr="00000000">
        <w:rPr>
          <w:rFonts w:ascii="Calibri" w:cs="Calibri" w:eastAsia="Calibri" w:hAnsi="Calibri"/>
          <w:sz w:val="22"/>
          <w:szCs w:val="22"/>
          <w:rtl w:val="0"/>
        </w:rPr>
        <w:t xml:space="preserve">is 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a new system in the future which will be explained in September, but please remember all leave of absence and off timetable requests must be submitted no less than 2 weeks in advance.</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Amy in Finance in a timely manner.  It is not the fault of the finance team or system if your POs are not submitted in good time.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Wellbeing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hope you are looking forward to enjoying </w:t>
      </w:r>
      <w:r w:rsidDel="00000000" w:rsidR="00000000" w:rsidRPr="00000000">
        <w:rPr>
          <w:rFonts w:ascii="Calibri" w:cs="Calibri" w:eastAsia="Calibri" w:hAnsi="Calibri"/>
          <w:sz w:val="22"/>
          <w:szCs w:val="22"/>
          <w:rtl w:val="0"/>
        </w:rPr>
        <w:t xml:space="preserve">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summer break.  </w:t>
      </w:r>
      <w:r w:rsidDel="00000000" w:rsidR="00000000" w:rsidRPr="00000000">
        <w:rPr>
          <w:rFonts w:ascii="Calibri" w:cs="Calibri" w:eastAsia="Calibri" w:hAnsi="Calibri"/>
          <w:sz w:val="22"/>
          <w:szCs w:val="22"/>
          <w:rtl w:val="0"/>
        </w:rPr>
        <w:t xml:space="preserve">Please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remember the TES Pulse Survey consistently monitors all of our wellbeing for us so</w:t>
      </w:r>
      <w:r w:rsidDel="00000000" w:rsidR="00000000" w:rsidRPr="00000000">
        <w:rPr>
          <w:rFonts w:ascii="Calibri" w:cs="Calibri" w:eastAsia="Calibri" w:hAnsi="Calibri"/>
          <w:sz w:val="22"/>
          <w:szCs w:val="22"/>
          <w:rtl w:val="0"/>
        </w:rPr>
        <w:t xml:space="preserve"> please take a minute to complete this.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you have any wellbeing ideas, suggestions or feedback please let a member of the wellbeing team know.</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Emergency Contact Numbers</w:t>
      </w:r>
      <w:r w:rsidDel="00000000" w:rsidR="00000000" w:rsidRPr="00000000">
        <w:rPr>
          <w:rFonts w:ascii="Calibri" w:cs="Calibri" w:eastAsia="Calibri" w:hAnsi="Calibri"/>
          <w:sz w:val="22"/>
          <w:szCs w:val="22"/>
          <w:rtl w:val="0"/>
        </w:rPr>
        <w:t xml:space="preserve"> over the Summer Break -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- 01637 872076 - available weekdays 8 am - 3.30 pm.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Site Team/L Henderson - 07812 389 187 - For use in the event of emergencies only.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27">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21 July 2023 – Last Day of Summer Term</w:t>
      </w:r>
    </w:p>
    <w:p w:rsidR="00000000" w:rsidDel="00000000" w:rsidP="00000000" w:rsidRDefault="00000000" w:rsidRPr="00000000" w14:paraId="00000028">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4 September 2023 – Inset Day (school is closed to all students)</w:t>
      </w:r>
    </w:p>
    <w:p w:rsidR="00000000" w:rsidDel="00000000" w:rsidP="00000000" w:rsidRDefault="00000000" w:rsidRPr="00000000" w14:paraId="00000029">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5 September 2023 – First Day of Autumn Term for all students</w:t>
      </w:r>
    </w:p>
    <w:p w:rsidR="00000000" w:rsidDel="00000000" w:rsidP="00000000" w:rsidRDefault="00000000" w:rsidRPr="00000000" w14:paraId="0000002A">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23 October to Friday 27 October 2023 – Half Term</w:t>
      </w:r>
    </w:p>
    <w:p w:rsidR="00000000" w:rsidDel="00000000" w:rsidP="00000000" w:rsidRDefault="00000000" w:rsidRPr="00000000" w14:paraId="0000002B">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2C">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2D">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2E">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2F">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30">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31">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32">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33">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34">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35">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b05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Summer Holidays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 August</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 August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am onwards - A Level and Level 3 Qualification results day</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am onwards - GCSE and Level 1/2 Qualification results day</w:t>
            </w:r>
          </w:p>
        </w:tc>
      </w:tr>
      <w:tr>
        <w:trPr>
          <w:cantSplit w:val="0"/>
          <w:trHeight w:val="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b05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b050"/>
                <w:sz w:val="22"/>
                <w:szCs w:val="22"/>
                <w:u w:val="none"/>
                <w:shd w:fill="auto" w:val="clear"/>
                <w:vertAlign w:val="baseline"/>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September</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September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Inset Day – School closed to all students</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Day of Term for All Students</w:t>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P3V1fuLeQwfviVMVCPmVIHTtg==">CgMxLjAyCWguMzBqMHpsbDIJaC4xZm9iOXRlMgloLjN6bnlzaDcyCWguMmV0OTJwMDIIaC50eWpjd3Q4AHIhMXpkNzFfM1EtY1laM1ZVc2JLRmZJTlJjV0g2S0QydHpU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