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27" name="image2.png"/>
            <a:graphic>
              <a:graphicData uri="http://schemas.openxmlformats.org/drawingml/2006/picture">
                <pic:pic>
                  <pic:nvPicPr>
                    <pic:cNvPr descr="cid:image001.png@01D7AED6.669898F0" id="0" name="image2.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17 November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Be kind to yourself and each other</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B">
      <w:pPr>
        <w:numPr>
          <w:ilvl w:val="0"/>
          <w:numId w:val="3"/>
        </w:numPr>
        <w:ind w:left="1440" w:hanging="36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Hosting the Newquay Sharks year 5 &amp; 6 Basketball Festival on Wednesday 15 November.</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involved in the remembrance assembly. The Cadets, Mr Senese and Rachel.</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of the Site Team and IT for all their hard work in getting us back up into the first part of the refurbished building.</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Treviglas Showjumping Team, Rosie, Sopie, Olivia and Emilia, who not only took part in the Pony Club Schools Showjumping Competition at Pendarves on 12 November, but won it!!</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Our Student Rozen who came home from the World Martial Arts Committee Austrian World Cup with 2 Gold Medals and One Silver Medal, so in effect Rozen is now a two times World Champion.</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Elijah and his efforts in supporting with the leatherback turtle washed up on the beach.</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Former student Ellie for all her achievements in Football since leaving us.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We look forward to:</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Welcoming our new Finance Administrator Mrs Dawes this Monday 20 November.</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Hall for Cornwall Trips to see Peter Pan - Year 7 on Thursday 7 December, then Year 8 on Friday 8 December - please could staff who would like to accompany the students on this trip please contact Mr Colborne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&amp; 8 Christmas Disco - Wednesday 13 December - 4.30-5.45 pm Year 7, then 6-7.15pm Year 8 - see Miss Dandy for details.</w:t>
      </w:r>
    </w:p>
    <w:p w:rsidR="00000000" w:rsidDel="00000000" w:rsidP="00000000" w:rsidRDefault="00000000" w:rsidRPr="00000000" w14:paraId="00000019">
      <w:pPr>
        <w:numPr>
          <w:ilvl w:val="0"/>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Christmas lunch - Friday 15 December 2023.</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Rock Mime - Monday 18 December - see Mr Colborne for details.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Activities week 15 to 19 July 2024 for years 7 to 9 students.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We should all be using the following consistently and confidently in our lessons:</w:t>
      </w:r>
      <w:r w:rsidDel="00000000" w:rsidR="00000000" w:rsidRPr="00000000">
        <w:rPr>
          <w:rtl w:val="0"/>
        </w:rPr>
      </w:r>
    </w:p>
    <w:p w:rsidR="00000000" w:rsidDel="00000000" w:rsidP="00000000" w:rsidRDefault="00000000" w:rsidRPr="00000000" w14:paraId="0000001F">
      <w:pPr>
        <w:numPr>
          <w:ilvl w:val="0"/>
          <w:numId w:val="7"/>
        </w:numPr>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 and Greet</w:t>
      </w:r>
      <w:r w:rsidDel="00000000" w:rsidR="00000000" w:rsidRPr="00000000">
        <w:rPr>
          <w:rtl w:val="0"/>
        </w:rPr>
      </w:r>
    </w:p>
    <w:p w:rsidR="00000000" w:rsidDel="00000000" w:rsidP="00000000" w:rsidRDefault="00000000" w:rsidRPr="00000000" w14:paraId="00000020">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321 Focus</w:t>
      </w:r>
    </w:p>
    <w:p w:rsidR="00000000" w:rsidDel="00000000" w:rsidP="00000000" w:rsidRDefault="00000000" w:rsidRPr="00000000" w14:paraId="00000021">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 Showme</w:t>
      </w:r>
    </w:p>
    <w:p w:rsidR="00000000" w:rsidDel="00000000" w:rsidP="00000000" w:rsidRDefault="00000000" w:rsidRPr="00000000" w14:paraId="00000022">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me boards</w:t>
      </w:r>
    </w:p>
    <w:p w:rsidR="00000000" w:rsidDel="00000000" w:rsidP="00000000" w:rsidRDefault="00000000" w:rsidRPr="00000000" w14:paraId="00000023">
      <w:pPr>
        <w:numPr>
          <w:ilvl w:val="0"/>
          <w:numId w:val="7"/>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Sitting for dismissal</w:t>
      </w:r>
    </w:p>
    <w:p w:rsidR="00000000" w:rsidDel="00000000" w:rsidP="00000000" w:rsidRDefault="00000000" w:rsidRPr="00000000" w14:paraId="00000024">
      <w:pPr>
        <w:numPr>
          <w:ilvl w:val="0"/>
          <w:numId w:val="7"/>
        </w:numPr>
        <w:ind w:left="216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Task Management Boards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numPr>
          <w:ilvl w:val="0"/>
          <w:numId w:val="5"/>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cannot be taken until you have received a confirmation email from Sharon.</w:t>
      </w:r>
      <w:r w:rsidDel="00000000" w:rsidR="00000000" w:rsidRPr="00000000">
        <w:rPr>
          <w:rtl w:val="0"/>
        </w:rPr>
      </w:r>
    </w:p>
    <w:p w:rsidR="00000000" w:rsidDel="00000000" w:rsidP="00000000" w:rsidRDefault="00000000" w:rsidRPr="00000000" w14:paraId="00000028">
      <w:pPr>
        <w:numPr>
          <w:ilvl w:val="0"/>
          <w:numId w:val="5"/>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Finance in a timely manner.   </w:t>
      </w:r>
      <w:r w:rsidDel="00000000" w:rsidR="00000000" w:rsidRPr="00000000">
        <w:rPr>
          <w:rFonts w:ascii="Calibri" w:cs="Calibri" w:eastAsia="Calibri" w:hAnsi="Calibri"/>
          <w:sz w:val="22"/>
          <w:szCs w:val="22"/>
          <w:rtl w:val="0"/>
        </w:rPr>
        <w:t xml:space="preserve">In the interim period, until our new finance administrator is in role, please give your POs to Sharon Edwards and address any finance queries to Sharon in the first instance.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2E">
      <w:pPr>
        <w:numPr>
          <w:ilvl w:val="0"/>
          <w:numId w:val="1"/>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2F">
      <w:pPr>
        <w:numPr>
          <w:ilvl w:val="0"/>
          <w:numId w:val="1"/>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0">
      <w:pPr>
        <w:numPr>
          <w:ilvl w:val="0"/>
          <w:numId w:val="1"/>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31">
      <w:pPr>
        <w:numPr>
          <w:ilvl w:val="0"/>
          <w:numId w:val="1"/>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32">
      <w:pPr>
        <w:numPr>
          <w:ilvl w:val="0"/>
          <w:numId w:val="1"/>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so we can understand and address any needs that arise.</w:t>
      </w:r>
      <w:r w:rsidDel="00000000" w:rsidR="00000000" w:rsidRPr="00000000">
        <w:rPr>
          <w:rtl w:val="0"/>
        </w:rPr>
      </w:r>
    </w:p>
    <w:p w:rsidR="00000000" w:rsidDel="00000000" w:rsidP="00000000" w:rsidRDefault="00000000" w:rsidRPr="00000000" w14:paraId="00000033">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4">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5">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6">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3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3E">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3F">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1">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20 November 2023 </w:t>
            </w:r>
          </w:p>
        </w:tc>
      </w:tr>
    </w:tbl>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3.15 - 4.15 pm - Year Group Meeting</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 Staff Briefing Main Hall (Postponed to Wednesday INSET)</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5 - 6 pm - Parent Forum</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6pm - Local Monitoring Committee Meeting at Falmouth - Mr Rogers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Slater - First Aid Training</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7.30 am to 1 pm - Mrs Robin Penrose - Falmouth School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11.45 am to 3 pm - Mr Mildenhall - KS3 Concert Hall for Cornwall</w:t>
            </w:r>
          </w:p>
        </w:tc>
      </w:tr>
    </w:tbl>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D">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21 November 2023</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11 - Mr Wilson</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9 - 10 am - Year 11 Networking Breakfast - Mrs Ford</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3.30 - 5.30 pm SLT Meeting</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Slater - First Aid Training</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Mildenhall - Year 11 GCSE Mock Exams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Laity - Year 11 Art Exam</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- 12 pm - Mrs Drake - Meeting at Roseland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8.30 - 11.30 am - Mrs Gough - Falmouth School</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9 - 10 am - Mrs Ford - Networking Breakfast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12 - 7 pm - Mr Wells - Under 16 National League Match at Paignton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Dawes</w:t>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F">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22 November 2023</w:t>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10 - Mr Lewis</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am to 12 pm - Swimming Festival Years 5 &amp; 6 at Water World</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to 5.45 pm - Twilight Inset</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Miss Sibley - Year 11 GCSE Solo Performance Recording</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11.30 am - 3 pm - Mr Penrose - Training</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Ye</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C">
            <w:pPr>
              <w:jc w:val="center"/>
              <w:rPr>
                <w:b w:val="1"/>
                <w:sz w:val="22"/>
                <w:szCs w:val="22"/>
              </w:rPr>
            </w:pPr>
            <w:r w:rsidDel="00000000" w:rsidR="00000000" w:rsidRPr="00000000">
              <w:rPr>
                <w:b w:val="1"/>
                <w:sz w:val="22"/>
                <w:szCs w:val="22"/>
                <w:rtl w:val="0"/>
              </w:rPr>
              <w:t xml:space="preserve">Thursday 23 November 2023 </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7 - Miss Dandy</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am to 1 pm - Year 10 Mock Interviews</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5.30pm - Year 9 Options Evening - Mr WIlson</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Brain - NPQSL Seminar</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Drake - Pixl Conference in London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Suttle - Pixl English Festival</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Ford - Year 10/12/13 Mock Interviews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1.45 - 4 pm - Mrs Bradshaw</w:t>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B">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24 November 2023 </w:t>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5u38yjijuose" w:id="9"/>
            <w:bookmarkEnd w:id="9"/>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F">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c78d8"/>
                <w:sz w:val="22"/>
                <w:szCs w:val="22"/>
              </w:rPr>
            </w:pPr>
            <w:r w:rsidDel="00000000" w:rsidR="00000000" w:rsidRPr="00000000">
              <w:rPr>
                <w:rFonts w:ascii="Calibri" w:cs="Calibri" w:eastAsia="Calibri" w:hAnsi="Calibri"/>
                <w:color w:val="3c78d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27 November - 1 to 3 pm - Year 10 Speed Dating Entrepreneur Event - see Mrs Ford or Mr Wilson for details.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29 November - 8.30 am to 2.30 pm - LMC Visit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29 November - 1.30 to 3.30 pm - Mixed Netball - Years 5 &amp; 6 at Treviglas Academy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December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4 December - 3.30 - 7 pm - Year 11 Subject Evening - Main Hall</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5 December - 9 - 10 am - Year 11 Networking Breakfast - Mrs Ford</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6 December - 3.30 - 5.30 pm - Indoor Athletics Years 5 &amp; 6 hosted by Newquay Tretherras ad Newquay Sports Centre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7 December - Christmas Jumper Day.</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7 December - 9 am to 3 pm - Year 7 Hall for Cornwall trip to see Peter Pan.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8 December - 9 am - 4 pm - Year 8 Hall for Cornwall trip to see Peter Pan.</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December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- 1.30 - 3.30 pm - Mixed Netball Years 5&amp;6 - Treviglas Academy</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Years 7&amp;8 Christmas Disco - 16.30 to 17.45 pm for Year 7, and 18.00 to 19.30 pm for Year 8 - for details contact Miss Dandy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- 3.15 - 4.15 pm - Trust CPD</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15 December - Christmas Lunch</w:t>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O9IDKFaPsnOellaOD0VvKxcUHw==">CgMxLjAyCWguMzBqMHpsbDIJaC4xZm9iOXRlMgloLjN6bnlzaDcyCWguMmV0OTJwMDIIaC50eWpjd3QyCWguM2R5NnZrbTIJaC4yczhleW8xMgloLjNyZGNyam4yCGgubG54Yno5Mg5oLjV1Mzh5amlqdW9zZTgAciExUU5UMUl5SUR3VGdXZ3Z2cElldUhzbDA2WDBUdEdMc2o=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